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Bidi"/>
          <w:color w:val="404040" w:themeColor="text1" w:themeTint="BF"/>
          <w:sz w:val="20"/>
          <w:szCs w:val="20"/>
        </w:rPr>
        <w:id w:val="23717196"/>
        <w:placeholder>
          <w:docPart w:val="27566FEEEB3F6D4EA662FBA8DD897473"/>
        </w:placeholder>
      </w:sdtPr>
      <w:sdtEndPr/>
      <w:sdtContent>
        <w:p w14:paraId="24291923" w14:textId="77777777" w:rsidR="003E04A7" w:rsidRPr="003E04A7" w:rsidRDefault="003E04A7" w:rsidP="003E04A7">
          <w:pPr>
            <w:pStyle w:val="Default"/>
          </w:pPr>
          <w:r w:rsidRPr="003E04A7">
            <w:rPr>
              <w:b/>
              <w:bCs/>
            </w:rPr>
            <w:t>What research tells us  (from</w:t>
          </w:r>
          <w:r>
            <w:rPr>
              <w:b/>
              <w:bCs/>
            </w:rPr>
            <w:t xml:space="preserve"> 10 Pitfalls and how to avoid them (Broadhurst et al (2010))</w:t>
          </w:r>
        </w:p>
        <w:p w14:paraId="57B615A7" w14:textId="77777777" w:rsidR="003E04A7" w:rsidRPr="003E04A7" w:rsidRDefault="003E04A7" w:rsidP="003E04A7">
          <w:pPr>
            <w:pStyle w:val="Default"/>
          </w:pPr>
        </w:p>
        <w:p w14:paraId="7F697B82" w14:textId="77777777" w:rsidR="003E04A7" w:rsidRPr="003E04A7" w:rsidRDefault="003E04A7" w:rsidP="003E04A7">
          <w:pPr>
            <w:pStyle w:val="Default"/>
            <w:numPr>
              <w:ilvl w:val="0"/>
              <w:numId w:val="20"/>
            </w:numPr>
            <w:rPr>
              <w:rFonts w:cs="Times New Roman"/>
            </w:rPr>
          </w:pPr>
          <w:r w:rsidRPr="003E04A7">
            <w:rPr>
              <w:rFonts w:cs="Times New Roman"/>
            </w:rPr>
            <w:t xml:space="preserve">An initial hypothesis is formulated on the basis of incomplete information, and is assessed and accepted too quickly. Practitioners become committed to this hypothesis and do not seek out information that may disconfirm or refute it. </w:t>
          </w:r>
        </w:p>
        <w:p w14:paraId="0CB4343F" w14:textId="77777777" w:rsidR="003E04A7" w:rsidRPr="003E04A7" w:rsidRDefault="003E04A7" w:rsidP="003E04A7">
          <w:pPr>
            <w:pStyle w:val="Default"/>
            <w:rPr>
              <w:rFonts w:cs="Times New Roman"/>
            </w:rPr>
          </w:pPr>
        </w:p>
        <w:p w14:paraId="78451ED6" w14:textId="77777777" w:rsidR="003E04A7" w:rsidRPr="003E04A7" w:rsidRDefault="003E04A7" w:rsidP="003E04A7">
          <w:pPr>
            <w:pStyle w:val="Default"/>
            <w:numPr>
              <w:ilvl w:val="0"/>
              <w:numId w:val="20"/>
            </w:numPr>
            <w:rPr>
              <w:rFonts w:cs="Times New Roman"/>
            </w:rPr>
          </w:pPr>
          <w:r w:rsidRPr="003E04A7">
            <w:rPr>
              <w:rFonts w:cs="Times New Roman"/>
            </w:rPr>
            <w:t xml:space="preserve">Information taken at the first enquiry is not adequately recorded, facts are not checked and there is a failure to feedback the outcome to the referrer. </w:t>
          </w:r>
        </w:p>
        <w:p w14:paraId="0EBD02AA" w14:textId="77777777" w:rsidR="003E04A7" w:rsidRPr="003E04A7" w:rsidRDefault="003E04A7" w:rsidP="003E04A7">
          <w:pPr>
            <w:pStyle w:val="Default"/>
            <w:rPr>
              <w:rFonts w:cs="Times New Roman"/>
            </w:rPr>
          </w:pPr>
        </w:p>
        <w:p w14:paraId="041BDE3F" w14:textId="77777777" w:rsidR="003E04A7" w:rsidRPr="003E04A7" w:rsidRDefault="003E04A7" w:rsidP="003E04A7">
          <w:pPr>
            <w:pStyle w:val="Default"/>
            <w:numPr>
              <w:ilvl w:val="0"/>
              <w:numId w:val="20"/>
            </w:numPr>
            <w:rPr>
              <w:rFonts w:cs="Times New Roman"/>
            </w:rPr>
          </w:pPr>
          <w:r w:rsidRPr="003E04A7">
            <w:rPr>
              <w:rFonts w:cs="Times New Roman"/>
            </w:rPr>
            <w:t xml:space="preserve">Attention is focused on the most visible or pressing problems; case history and less “obvious” details are insufficiently explored. </w:t>
          </w:r>
        </w:p>
        <w:p w14:paraId="3C29C9FD" w14:textId="77777777" w:rsidR="003E04A7" w:rsidRPr="003E04A7" w:rsidRDefault="003E04A7" w:rsidP="003E04A7">
          <w:pPr>
            <w:pStyle w:val="Default"/>
            <w:rPr>
              <w:rFonts w:cs="Times New Roman"/>
            </w:rPr>
          </w:pPr>
        </w:p>
        <w:p w14:paraId="2A36C41B" w14:textId="77777777" w:rsidR="003E04A7" w:rsidRPr="003E04A7" w:rsidRDefault="003E04A7" w:rsidP="003E04A7">
          <w:pPr>
            <w:pStyle w:val="Default"/>
            <w:numPr>
              <w:ilvl w:val="0"/>
              <w:numId w:val="20"/>
            </w:numPr>
            <w:rPr>
              <w:rFonts w:cs="Times New Roman"/>
            </w:rPr>
          </w:pPr>
          <w:r w:rsidRPr="003E04A7">
            <w:rPr>
              <w:rFonts w:cs="Times New Roman"/>
            </w:rPr>
            <w:t xml:space="preserve">Insufficient weight is given to information from family, friends and </w:t>
          </w:r>
          <w:proofErr w:type="spellStart"/>
          <w:r w:rsidRPr="003E04A7">
            <w:rPr>
              <w:rFonts w:cs="Times New Roman"/>
            </w:rPr>
            <w:t>neighbours</w:t>
          </w:r>
          <w:proofErr w:type="spellEnd"/>
          <w:r w:rsidRPr="003E04A7">
            <w:rPr>
              <w:rFonts w:cs="Times New Roman"/>
            </w:rPr>
            <w:t xml:space="preserve">. </w:t>
          </w:r>
        </w:p>
        <w:p w14:paraId="120E0771" w14:textId="77777777" w:rsidR="003E04A7" w:rsidRPr="003E04A7" w:rsidRDefault="003E04A7" w:rsidP="003E04A7">
          <w:pPr>
            <w:pStyle w:val="Default"/>
            <w:rPr>
              <w:rFonts w:cs="Times New Roman"/>
            </w:rPr>
          </w:pPr>
        </w:p>
        <w:p w14:paraId="3F404667" w14:textId="77777777" w:rsidR="003E04A7" w:rsidRPr="003E04A7" w:rsidRDefault="003E04A7" w:rsidP="003E04A7">
          <w:pPr>
            <w:pStyle w:val="Default"/>
            <w:numPr>
              <w:ilvl w:val="0"/>
              <w:numId w:val="20"/>
            </w:numPr>
            <w:rPr>
              <w:rFonts w:cs="Times New Roman"/>
            </w:rPr>
          </w:pPr>
          <w:r w:rsidRPr="003E04A7">
            <w:rPr>
              <w:rFonts w:cs="Times New Roman"/>
            </w:rPr>
            <w:t>Insufficient attention is paid to what children say, how they look and how they behave.</w:t>
          </w:r>
        </w:p>
        <w:p w14:paraId="1FD9BAC8" w14:textId="77777777" w:rsidR="003E04A7" w:rsidRPr="003E04A7" w:rsidRDefault="003E04A7" w:rsidP="003E04A7">
          <w:pPr>
            <w:pStyle w:val="Default"/>
            <w:rPr>
              <w:rFonts w:cs="Times New Roman"/>
            </w:rPr>
          </w:pPr>
        </w:p>
        <w:p w14:paraId="7EDF4A91" w14:textId="77777777" w:rsidR="003E04A7" w:rsidRPr="003E04A7" w:rsidRDefault="003E04A7" w:rsidP="003E04A7">
          <w:pPr>
            <w:widowControl w:val="0"/>
            <w:autoSpaceDE w:val="0"/>
            <w:autoSpaceDN w:val="0"/>
            <w:adjustRightInd w:val="0"/>
            <w:rPr>
              <w:rFonts w:ascii="Arial" w:hAnsi="Arial" w:cs="Times New Roman"/>
              <w:color w:val="000000"/>
              <w:sz w:val="24"/>
              <w:szCs w:val="24"/>
            </w:rPr>
          </w:pPr>
        </w:p>
        <w:p w14:paraId="573C9A8E" w14:textId="77777777" w:rsidR="003E04A7" w:rsidRPr="003E04A7" w:rsidRDefault="003E04A7" w:rsidP="003E04A7">
          <w:pPr>
            <w:pStyle w:val="ListParagraph"/>
            <w:widowControl w:val="0"/>
            <w:numPr>
              <w:ilvl w:val="0"/>
              <w:numId w:val="20"/>
            </w:numPr>
            <w:autoSpaceDE w:val="0"/>
            <w:autoSpaceDN w:val="0"/>
            <w:adjustRightInd w:val="0"/>
            <w:rPr>
              <w:rFonts w:ascii="Arial" w:hAnsi="Arial" w:cs="Times New Roman"/>
              <w:color w:val="000000"/>
              <w:sz w:val="24"/>
              <w:szCs w:val="24"/>
            </w:rPr>
          </w:pPr>
          <w:r w:rsidRPr="003E04A7">
            <w:rPr>
              <w:rFonts w:ascii="Arial" w:hAnsi="Arial" w:cs="Times New Roman"/>
              <w:color w:val="000000"/>
              <w:sz w:val="24"/>
              <w:szCs w:val="24"/>
            </w:rPr>
            <w:t xml:space="preserve">There is insufficient full engagement with parents (mothers/fathers/other family </w:t>
          </w:r>
          <w:proofErr w:type="spellStart"/>
          <w:r w:rsidRPr="003E04A7">
            <w:rPr>
              <w:rFonts w:ascii="Arial" w:hAnsi="Arial" w:cs="Times New Roman"/>
              <w:color w:val="000000"/>
              <w:sz w:val="24"/>
              <w:szCs w:val="24"/>
            </w:rPr>
            <w:t>carers</w:t>
          </w:r>
          <w:proofErr w:type="spellEnd"/>
          <w:r w:rsidRPr="003E04A7">
            <w:rPr>
              <w:rFonts w:ascii="Arial" w:hAnsi="Arial" w:cs="Times New Roman"/>
              <w:color w:val="000000"/>
              <w:sz w:val="24"/>
              <w:szCs w:val="24"/>
            </w:rPr>
            <w:t xml:space="preserve">) to assess risk. </w:t>
          </w:r>
        </w:p>
        <w:p w14:paraId="4B02196B" w14:textId="77777777" w:rsidR="003E04A7" w:rsidRPr="003E04A7" w:rsidRDefault="003E04A7" w:rsidP="003E04A7">
          <w:pPr>
            <w:pStyle w:val="Default"/>
            <w:ind w:firstLine="60"/>
            <w:rPr>
              <w:rFonts w:cs="Times New Roman"/>
            </w:rPr>
          </w:pPr>
        </w:p>
        <w:p w14:paraId="2A9603ED" w14:textId="77777777" w:rsidR="003E04A7" w:rsidRPr="003E04A7" w:rsidRDefault="003E04A7" w:rsidP="003E04A7">
          <w:pPr>
            <w:widowControl w:val="0"/>
            <w:autoSpaceDE w:val="0"/>
            <w:autoSpaceDN w:val="0"/>
            <w:adjustRightInd w:val="0"/>
            <w:rPr>
              <w:rFonts w:ascii="Arial" w:hAnsi="Arial" w:cs="Times New Roman"/>
              <w:color w:val="000000"/>
              <w:sz w:val="24"/>
              <w:szCs w:val="24"/>
            </w:rPr>
          </w:pPr>
        </w:p>
        <w:p w14:paraId="58215DB5" w14:textId="77777777" w:rsidR="003E04A7" w:rsidRPr="003E04A7" w:rsidRDefault="003E04A7" w:rsidP="003E04A7">
          <w:pPr>
            <w:pStyle w:val="ListParagraph"/>
            <w:widowControl w:val="0"/>
            <w:numPr>
              <w:ilvl w:val="0"/>
              <w:numId w:val="20"/>
            </w:numPr>
            <w:autoSpaceDE w:val="0"/>
            <w:autoSpaceDN w:val="0"/>
            <w:adjustRightInd w:val="0"/>
            <w:rPr>
              <w:rFonts w:ascii="Arial" w:hAnsi="Arial" w:cs="Times New Roman"/>
              <w:color w:val="000000"/>
              <w:sz w:val="24"/>
              <w:szCs w:val="24"/>
            </w:rPr>
          </w:pPr>
          <w:r w:rsidRPr="003E04A7">
            <w:rPr>
              <w:rFonts w:ascii="Arial" w:hAnsi="Arial" w:cs="Times New Roman"/>
              <w:color w:val="000000"/>
              <w:sz w:val="24"/>
              <w:szCs w:val="24"/>
            </w:rPr>
            <w:t xml:space="preserve">Initial decisions that are overly focused on age categories of children can result in older children being left in situations of unacceptable risk. </w:t>
          </w:r>
        </w:p>
        <w:p w14:paraId="1314D4F4" w14:textId="77777777" w:rsidR="003E04A7" w:rsidRPr="003E04A7" w:rsidRDefault="003E04A7" w:rsidP="003E04A7">
          <w:pPr>
            <w:widowControl w:val="0"/>
            <w:autoSpaceDE w:val="0"/>
            <w:autoSpaceDN w:val="0"/>
            <w:adjustRightInd w:val="0"/>
            <w:rPr>
              <w:rFonts w:ascii="Arial" w:hAnsi="Arial" w:cs="Times New Roman"/>
              <w:color w:val="000000"/>
              <w:sz w:val="24"/>
              <w:szCs w:val="24"/>
            </w:rPr>
          </w:pPr>
        </w:p>
        <w:p w14:paraId="213A5335" w14:textId="77777777" w:rsidR="003E04A7" w:rsidRPr="003E04A7" w:rsidRDefault="003E04A7" w:rsidP="003E04A7">
          <w:pPr>
            <w:pStyle w:val="ListParagraph"/>
            <w:widowControl w:val="0"/>
            <w:numPr>
              <w:ilvl w:val="0"/>
              <w:numId w:val="20"/>
            </w:numPr>
            <w:autoSpaceDE w:val="0"/>
            <w:autoSpaceDN w:val="0"/>
            <w:adjustRightInd w:val="0"/>
            <w:rPr>
              <w:rFonts w:ascii="Arial" w:hAnsi="Arial" w:cs="Times New Roman"/>
              <w:color w:val="000000"/>
              <w:sz w:val="24"/>
              <w:szCs w:val="24"/>
            </w:rPr>
          </w:pPr>
          <w:r w:rsidRPr="003E04A7">
            <w:rPr>
              <w:rFonts w:ascii="Arial" w:hAnsi="Arial" w:cs="Times New Roman"/>
              <w:color w:val="000000"/>
              <w:sz w:val="24"/>
              <w:szCs w:val="24"/>
            </w:rPr>
            <w:t>There is insufficient support/supervision to enable practitioners to work effectively with service users who are uncooperative</w:t>
          </w:r>
          <w:r w:rsidRPr="003E04A7">
            <w:rPr>
              <w:rFonts w:ascii="Arial" w:hAnsi="Arial" w:cs="Times New Roman"/>
              <w:b/>
              <w:bCs/>
              <w:color w:val="000000"/>
              <w:sz w:val="24"/>
              <w:szCs w:val="24"/>
            </w:rPr>
            <w:t xml:space="preserve">, </w:t>
          </w:r>
          <w:r w:rsidRPr="003E04A7">
            <w:rPr>
              <w:rFonts w:ascii="Arial" w:hAnsi="Arial" w:cs="Times New Roman"/>
              <w:color w:val="000000"/>
              <w:sz w:val="24"/>
              <w:szCs w:val="24"/>
            </w:rPr>
            <w:t xml:space="preserve">ambivalent, confrontational, avoidant or aggressive. </w:t>
          </w:r>
        </w:p>
        <w:p w14:paraId="5596E56E" w14:textId="77777777" w:rsidR="003E04A7" w:rsidRPr="003E04A7" w:rsidRDefault="003E04A7" w:rsidP="003E04A7">
          <w:pPr>
            <w:widowControl w:val="0"/>
            <w:autoSpaceDE w:val="0"/>
            <w:autoSpaceDN w:val="0"/>
            <w:adjustRightInd w:val="0"/>
            <w:rPr>
              <w:rFonts w:ascii="Arial" w:hAnsi="Arial" w:cs="Times New Roman"/>
              <w:color w:val="000000"/>
              <w:sz w:val="24"/>
              <w:szCs w:val="24"/>
            </w:rPr>
          </w:pPr>
        </w:p>
        <w:p w14:paraId="18EC8A40" w14:textId="77777777" w:rsidR="003E04A7" w:rsidRPr="003E04A7" w:rsidRDefault="003E04A7" w:rsidP="003E04A7">
          <w:pPr>
            <w:pStyle w:val="ListParagraph"/>
            <w:widowControl w:val="0"/>
            <w:numPr>
              <w:ilvl w:val="0"/>
              <w:numId w:val="20"/>
            </w:numPr>
            <w:autoSpaceDE w:val="0"/>
            <w:autoSpaceDN w:val="0"/>
            <w:adjustRightInd w:val="0"/>
            <w:rPr>
              <w:rFonts w:ascii="Arial" w:hAnsi="Arial" w:cs="Times New Roman"/>
              <w:color w:val="000000"/>
              <w:sz w:val="24"/>
              <w:szCs w:val="24"/>
            </w:rPr>
          </w:pPr>
          <w:r w:rsidRPr="003E04A7">
            <w:rPr>
              <w:rFonts w:ascii="Arial" w:hAnsi="Arial" w:cs="Times New Roman"/>
              <w:color w:val="000000"/>
              <w:sz w:val="24"/>
              <w:szCs w:val="24"/>
            </w:rPr>
            <w:t xml:space="preserve">Throughout the initial assessment process, professionals do not clearly check that others have understood their communication. There is an assumption that information shared is information understood. </w:t>
          </w:r>
        </w:p>
        <w:p w14:paraId="45807232" w14:textId="77777777" w:rsidR="003E04A7" w:rsidRPr="003E04A7" w:rsidRDefault="003E04A7" w:rsidP="003E04A7">
          <w:pPr>
            <w:widowControl w:val="0"/>
            <w:autoSpaceDE w:val="0"/>
            <w:autoSpaceDN w:val="0"/>
            <w:adjustRightInd w:val="0"/>
            <w:rPr>
              <w:rFonts w:ascii="Arial" w:hAnsi="Arial" w:cs="Times New Roman"/>
              <w:color w:val="000000"/>
              <w:sz w:val="24"/>
              <w:szCs w:val="24"/>
            </w:rPr>
          </w:pPr>
        </w:p>
        <w:p w14:paraId="6BA9C3CD" w14:textId="77777777" w:rsidR="003E04A7" w:rsidRPr="003E04A7" w:rsidRDefault="003E04A7" w:rsidP="003E04A7">
          <w:pPr>
            <w:pStyle w:val="ListParagraph"/>
            <w:widowControl w:val="0"/>
            <w:numPr>
              <w:ilvl w:val="0"/>
              <w:numId w:val="20"/>
            </w:numPr>
            <w:autoSpaceDE w:val="0"/>
            <w:autoSpaceDN w:val="0"/>
            <w:adjustRightInd w:val="0"/>
            <w:rPr>
              <w:rFonts w:ascii="Arial" w:hAnsi="Arial" w:cs="Times New Roman"/>
              <w:color w:val="000000"/>
              <w:sz w:val="24"/>
              <w:szCs w:val="24"/>
            </w:rPr>
          </w:pPr>
          <w:r w:rsidRPr="003E04A7">
            <w:rPr>
              <w:rFonts w:ascii="Arial" w:hAnsi="Arial" w:cs="Times New Roman"/>
              <w:color w:val="000000"/>
              <w:sz w:val="24"/>
              <w:szCs w:val="24"/>
            </w:rPr>
            <w:t xml:space="preserve">Case responsibility is diluted in the context of multi-agency working, impacting both on referrals and response. The local authority may inappropriately signpost families to other agencies, with no follow up. </w:t>
          </w:r>
        </w:p>
        <w:p w14:paraId="6AC96EEE" w14:textId="77777777" w:rsidR="003E04A7" w:rsidRDefault="003E04A7" w:rsidP="003E04A7">
          <w:pPr>
            <w:pStyle w:val="Default"/>
            <w:rPr>
              <w:rFonts w:ascii="Times New Roman" w:hAnsi="Times New Roman" w:cs="Times New Roman"/>
              <w:sz w:val="22"/>
              <w:szCs w:val="22"/>
            </w:rPr>
          </w:pPr>
        </w:p>
        <w:p w14:paraId="4CB18A2F" w14:textId="77777777" w:rsidR="003E04A7" w:rsidRDefault="00482474" w:rsidP="003E04A7">
          <w:pPr>
            <w:pStyle w:val="BodyText"/>
          </w:pPr>
        </w:p>
      </w:sdtContent>
    </w:sdt>
    <w:p w14:paraId="520F124D" w14:textId="77777777" w:rsidR="00E03743" w:rsidRDefault="00C97675">
      <w:r>
        <w:t xml:space="preserve"> </w:t>
      </w:r>
      <w:bookmarkStart w:id="0" w:name="_GoBack"/>
      <w:bookmarkEnd w:id="0"/>
    </w:p>
    <w:sectPr w:rsidR="00E03743" w:rsidSect="00E03743">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D33C" w14:textId="77777777" w:rsidR="00482474" w:rsidRDefault="00482474">
      <w:r>
        <w:separator/>
      </w:r>
    </w:p>
  </w:endnote>
  <w:endnote w:type="continuationSeparator" w:id="0">
    <w:p w14:paraId="4C68186E" w14:textId="77777777" w:rsidR="00482474" w:rsidRDefault="0048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7715" w14:textId="77777777" w:rsidR="00E03743" w:rsidRDefault="00DE7F7B">
    <w:pPr>
      <w:pStyle w:val="Footer"/>
    </w:pPr>
    <w:r>
      <w:fldChar w:fldCharType="begin"/>
    </w:r>
    <w:r>
      <w:instrText xml:space="preserve"> page </w:instrText>
    </w:r>
    <w:r>
      <w:fldChar w:fldCharType="separate"/>
    </w:r>
    <w:r w:rsidR="00C97675">
      <w:rPr>
        <w:noProof/>
      </w:rPr>
      <w:t>2</w:t>
    </w:r>
    <w:r>
      <w:rPr>
        <w:noProof/>
      </w:rPr>
      <w:fldChar w:fldCharType="end"/>
    </w:r>
  </w:p>
  <w:p w14:paraId="73166806" w14:textId="77777777" w:rsidR="00E03743" w:rsidRDefault="00E03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3A9E" w14:textId="77777777" w:rsidR="00482474" w:rsidRDefault="00482474">
      <w:r>
        <w:separator/>
      </w:r>
    </w:p>
  </w:footnote>
  <w:footnote w:type="continuationSeparator" w:id="0">
    <w:p w14:paraId="460FBFB6" w14:textId="77777777" w:rsidR="00482474" w:rsidRDefault="0048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utsideTable-Header"/>
      <w:tblW w:w="0" w:type="auto"/>
      <w:tblLook w:val="04A0" w:firstRow="1" w:lastRow="0" w:firstColumn="1" w:lastColumn="0" w:noHBand="0" w:noVBand="1"/>
    </w:tblPr>
    <w:tblGrid>
      <w:gridCol w:w="10944"/>
    </w:tblGrid>
    <w:tr w:rsidR="00E03743" w14:paraId="51E70551" w14:textId="77777777">
      <w:tc>
        <w:tcPr>
          <w:tcW w:w="11016" w:type="dxa"/>
        </w:tcPr>
        <w:p w14:paraId="7A396A8F" w14:textId="77777777" w:rsidR="00E03743" w:rsidRDefault="00E03743">
          <w:pPr>
            <w:pStyle w:val="NoSpaceBetween"/>
          </w:pPr>
        </w:p>
        <w:tbl>
          <w:tblPr>
            <w:tblStyle w:val="BorderTable-Header"/>
            <w:tblW w:w="0" w:type="auto"/>
            <w:tblLook w:val="04A0" w:firstRow="1" w:lastRow="0" w:firstColumn="1" w:lastColumn="0" w:noHBand="0" w:noVBand="1"/>
          </w:tblPr>
          <w:tblGrid>
            <w:gridCol w:w="10771"/>
          </w:tblGrid>
          <w:tr w:rsidR="00E03743" w14:paraId="0ABBD7C8" w14:textId="77777777">
            <w:tc>
              <w:tcPr>
                <w:tcW w:w="10771" w:type="dxa"/>
              </w:tcPr>
              <w:p w14:paraId="07B9E4FE" w14:textId="77777777" w:rsidR="00E03743" w:rsidRDefault="00E03743">
                <w:pPr>
                  <w:pStyle w:val="NoSpaceBetween"/>
                </w:pPr>
              </w:p>
              <w:tbl>
                <w:tblPr>
                  <w:tblStyle w:val="CenterTable-Header"/>
                  <w:tblW w:w="5000" w:type="pct"/>
                  <w:tblLook w:val="0600" w:firstRow="0" w:lastRow="0" w:firstColumn="0" w:lastColumn="0" w:noHBand="1" w:noVBand="1"/>
                </w:tblPr>
                <w:tblGrid>
                  <w:gridCol w:w="6294"/>
                  <w:gridCol w:w="4313"/>
                </w:tblGrid>
                <w:tr w:rsidR="00E03743" w14:paraId="2A1C6194" w14:textId="77777777">
                  <w:tc>
                    <w:tcPr>
                      <w:tcW w:w="2967" w:type="pct"/>
                    </w:tcPr>
                    <w:p w14:paraId="01928D43" w14:textId="5DCEACE2" w:rsidR="00E03743" w:rsidRPr="004B0811" w:rsidRDefault="004B0811">
                      <w:pPr>
                        <w:pStyle w:val="Header-Left"/>
                        <w:rPr>
                          <w:color w:val="002060"/>
                        </w:rPr>
                      </w:pPr>
                      <w:r>
                        <w:rPr>
                          <w:color w:val="002060"/>
                        </w:rPr>
                        <w:t>Partnership for Young London</w:t>
                      </w:r>
                    </w:p>
                    <w:p w14:paraId="6E420486" w14:textId="77777777" w:rsidR="003E04A7" w:rsidRPr="003E04A7" w:rsidRDefault="003E04A7">
                      <w:pPr>
                        <w:pStyle w:val="Header-Left"/>
                        <w:rPr>
                          <w:color w:val="0000FF"/>
                        </w:rPr>
                      </w:pPr>
                      <w:r w:rsidRPr="004B0811">
                        <w:rPr>
                          <w:color w:val="002060"/>
                        </w:rPr>
                        <w:t>10 pitfalls</w:t>
                      </w:r>
                    </w:p>
                  </w:tc>
                  <w:tc>
                    <w:tcPr>
                      <w:tcW w:w="2033" w:type="pct"/>
                    </w:tcPr>
                    <w:p w14:paraId="75B489EE" w14:textId="17CD936C" w:rsidR="003E04A7" w:rsidRDefault="004B0811">
                      <w:pPr>
                        <w:pStyle w:val="Header-Right"/>
                      </w:pPr>
                      <w:r w:rsidRPr="004B0811">
                        <w:drawing>
                          <wp:inline distT="0" distB="0" distL="0" distR="0" wp14:anchorId="449D5805" wp14:editId="6346A416">
                            <wp:extent cx="218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4400" cy="1028700"/>
                                    </a:xfrm>
                                    <a:prstGeom prst="rect">
                                      <a:avLst/>
                                    </a:prstGeom>
                                  </pic:spPr>
                                </pic:pic>
                              </a:graphicData>
                            </a:graphic>
                          </wp:inline>
                        </w:drawing>
                      </w:r>
                    </w:p>
                  </w:tc>
                </w:tr>
              </w:tbl>
              <w:p w14:paraId="1DD836D2" w14:textId="77777777" w:rsidR="00E03743" w:rsidRDefault="00E03743">
                <w:pPr>
                  <w:pStyle w:val="NoSpaceBetween"/>
                </w:pPr>
              </w:p>
            </w:tc>
          </w:tr>
        </w:tbl>
        <w:p w14:paraId="6351BDB0" w14:textId="77777777" w:rsidR="00E03743" w:rsidRDefault="00E03743">
          <w:pPr>
            <w:pStyle w:val="NoSpaceBetween"/>
          </w:pPr>
        </w:p>
      </w:tc>
    </w:tr>
  </w:tbl>
  <w:p w14:paraId="26C3E259" w14:textId="77777777" w:rsidR="00E03743" w:rsidRDefault="00E0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C26E7"/>
    <w:multiLevelType w:val="hybridMultilevel"/>
    <w:tmpl w:val="A4409B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726F63"/>
    <w:multiLevelType w:val="hybridMultilevel"/>
    <w:tmpl w:val="220A91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75F33B"/>
    <w:multiLevelType w:val="hybridMultilevel"/>
    <w:tmpl w:val="C6D69F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50C1D7C"/>
    <w:multiLevelType w:val="hybridMultilevel"/>
    <w:tmpl w:val="ADE00D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CCB98E"/>
    <w:multiLevelType w:val="hybridMultilevel"/>
    <w:tmpl w:val="0FF8C6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3D191A"/>
    <w:multiLevelType w:val="hybridMultilevel"/>
    <w:tmpl w:val="0DED21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A23438"/>
    <w:multiLevelType w:val="hybridMultilevel"/>
    <w:tmpl w:val="F81A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3AD45"/>
    <w:multiLevelType w:val="hybridMultilevel"/>
    <w:tmpl w:val="30988E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4904DA"/>
    <w:multiLevelType w:val="hybridMultilevel"/>
    <w:tmpl w:val="2EEF85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E4545A4"/>
    <w:multiLevelType w:val="hybridMultilevel"/>
    <w:tmpl w:val="1D4285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0"/>
  </w:num>
  <w:num w:numId="12">
    <w:abstractNumId w:val="19"/>
  </w:num>
  <w:num w:numId="13">
    <w:abstractNumId w:val="17"/>
  </w:num>
  <w:num w:numId="14">
    <w:abstractNumId w:val="15"/>
  </w:num>
  <w:num w:numId="15">
    <w:abstractNumId w:val="1"/>
  </w:num>
  <w:num w:numId="16">
    <w:abstractNumId w:val="2"/>
  </w:num>
  <w:num w:numId="17">
    <w:abstractNumId w:val="18"/>
  </w:num>
  <w:num w:numId="18">
    <w:abstractNumId w:val="1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3E04A7"/>
    <w:rsid w:val="000C54C3"/>
    <w:rsid w:val="003D2E1B"/>
    <w:rsid w:val="003E04A7"/>
    <w:rsid w:val="00482474"/>
    <w:rsid w:val="004B0811"/>
    <w:rsid w:val="004E566A"/>
    <w:rsid w:val="00596449"/>
    <w:rsid w:val="00610C55"/>
    <w:rsid w:val="00705197"/>
    <w:rsid w:val="00760A30"/>
    <w:rsid w:val="007C48EF"/>
    <w:rsid w:val="00B37648"/>
    <w:rsid w:val="00C97675"/>
    <w:rsid w:val="00D61F50"/>
    <w:rsid w:val="00D930A6"/>
    <w:rsid w:val="00DE7F7B"/>
    <w:rsid w:val="00E03743"/>
    <w:rsid w:val="00E34BC3"/>
    <w:rsid w:val="00E40A3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69648"/>
  <w15:docId w15:val="{9F35EE32-1E46-C748-BBAC-C48CB963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paragraph" w:customStyle="1" w:styleId="Default">
    <w:name w:val="Default"/>
    <w:rsid w:val="003E04A7"/>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566FEEEB3F6D4EA662FBA8DD897473"/>
        <w:category>
          <w:name w:val="General"/>
          <w:gallery w:val="placeholder"/>
        </w:category>
        <w:types>
          <w:type w:val="bbPlcHdr"/>
        </w:types>
        <w:behaviors>
          <w:behavior w:val="content"/>
        </w:behaviors>
        <w:guid w:val="{13D2330A-DB01-7C48-9C45-631170857DFF}"/>
      </w:docPartPr>
      <w:docPartBody>
        <w:p w:rsidR="009A72AC" w:rsidRDefault="00D46BEF">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9A72AC" w:rsidRDefault="00D46BEF">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D46BEF" w:rsidRDefault="00D46BEF">
          <w:pPr>
            <w:pStyle w:val="27566FEEEB3F6D4EA662FBA8DD89747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BEF"/>
    <w:rsid w:val="007D1117"/>
    <w:rsid w:val="00D46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0"/>
      <w:lang w:val="en-US" w:eastAsia="en-US"/>
    </w:rPr>
  </w:style>
  <w:style w:type="paragraph" w:customStyle="1" w:styleId="27566FEEEB3F6D4EA662FBA8DD897473">
    <w:name w:val="27566FEEEB3F6D4EA662FBA8DD897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Kennedy</dc:creator>
  <cp:keywords/>
  <dc:description/>
  <cp:lastModifiedBy>Pauline Kennedy</cp:lastModifiedBy>
  <cp:revision>2</cp:revision>
  <dcterms:created xsi:type="dcterms:W3CDTF">2020-09-15T08:03:00Z</dcterms:created>
  <dcterms:modified xsi:type="dcterms:W3CDTF">2020-09-15T08:03:00Z</dcterms:modified>
  <cp:category/>
</cp:coreProperties>
</file>